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pPr>
      <w:r>
        <w:rPr/>
        <w:drawing>
          <wp:inline distT="0" distB="0" distL="0" distR="0">
            <wp:extent cx="4686300" cy="568198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686300" cy="5681980"/>
                    </a:xfrm>
                    <a:prstGeom prst="rect">
                      <a:avLst/>
                    </a:prstGeom>
                  </pic:spPr>
                </pic:pic>
              </a:graphicData>
            </a:graphic>
          </wp:inline>
        </w:drawing>
      </w:r>
    </w:p>
    <w:p>
      <w:pPr>
        <w:pStyle w:val="Normal"/>
        <w:bidi w:val="0"/>
        <w:jc w:val="left"/>
        <w:rPr/>
      </w:pPr>
      <w:r>
        <w:rPr>
          <w:rFonts w:ascii="arial" w:hAnsi="arial"/>
          <w:b/>
          <w:bCs/>
          <w:sz w:val="20"/>
          <w:szCs w:val="20"/>
        </w:rPr>
        <w:t>Figure 1</w:t>
      </w:r>
      <w:r>
        <w:rPr>
          <w:rFonts w:ascii="arial" w:hAnsi="arial"/>
          <w:b w:val="false"/>
          <w:bCs w:val="false"/>
          <w:sz w:val="20"/>
          <w:szCs w:val="20"/>
        </w:rPr>
        <w:t xml:space="preserve">  </w:t>
      </w:r>
      <w:r>
        <w:rPr>
          <w:rFonts w:eastAsia="Noto Serif CJK SC" w:cs="Lohit Devanagari" w:ascii="arial" w:hAnsi="arial"/>
          <w:b w:val="false"/>
          <w:bCs w:val="false"/>
          <w:i/>
          <w:iCs/>
          <w:color w:val="auto"/>
          <w:kern w:val="2"/>
          <w:sz w:val="20"/>
          <w:szCs w:val="20"/>
          <w:lang w:val="en-US" w:eastAsia="zh-CN" w:bidi="hi-IN"/>
        </w:rPr>
        <w:t>E. coli</w:t>
      </w:r>
      <w:r>
        <w:rPr>
          <w:rFonts w:ascii="arial" w:hAnsi="arial"/>
          <w:b w:val="false"/>
          <w:bCs w:val="false"/>
          <w:i/>
          <w:iCs/>
          <w:sz w:val="20"/>
          <w:szCs w:val="20"/>
        </w:rPr>
        <w:t xml:space="preserve"> </w:t>
      </w:r>
      <w:r>
        <w:rPr>
          <w:rFonts w:ascii="arial" w:hAnsi="arial"/>
          <w:b w:val="false"/>
          <w:bCs w:val="false"/>
          <w:sz w:val="20"/>
          <w:szCs w:val="20"/>
        </w:rPr>
        <w:t>metabolite and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mixtures approximate single site binding near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ascii="arial" w:hAnsi="arial"/>
          <w:b/>
          <w:bCs/>
          <w:position w:val="0"/>
          <w:sz w:val="20"/>
          <w:sz w:val="20"/>
          <w:szCs w:val="20"/>
          <w:vertAlign w:val="baseline"/>
        </w:rPr>
        <w:t xml:space="preserve">(A) </w:t>
      </w:r>
      <w:r>
        <w:rPr>
          <w:rFonts w:ascii="arial" w:hAnsi="arial"/>
          <w:b w:val="false"/>
          <w:bCs w:val="false"/>
          <w:position w:val="0"/>
          <w:sz w:val="20"/>
          <w:sz w:val="20"/>
          <w:szCs w:val="20"/>
          <w:vertAlign w:val="baseline"/>
        </w:rPr>
        <w:t xml:space="preserve">E. coli metabolome molar composition. </w:t>
      </w:r>
      <w:r>
        <w:rPr>
          <w:rFonts w:ascii="arial" w:hAnsi="arial"/>
          <w:b/>
          <w:bCs/>
          <w:position w:val="0"/>
          <w:sz w:val="20"/>
          <w:sz w:val="20"/>
          <w:szCs w:val="20"/>
          <w:vertAlign w:val="baseline"/>
        </w:rPr>
        <w:t xml:space="preserve">(B-C) </w:t>
      </w:r>
      <w:r>
        <w:rPr>
          <w:rFonts w:ascii="arial" w:hAnsi="arial"/>
          <w:b w:val="false"/>
          <w:bCs w:val="false"/>
          <w:position w:val="0"/>
          <w:sz w:val="20"/>
          <w:sz w:val="20"/>
          <w:szCs w:val="20"/>
          <w:vertAlign w:val="baseline"/>
        </w:rPr>
        <w:t>Effect of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w:t>
      </w:r>
      <w:r>
        <w:rPr>
          <w:rFonts w:ascii="arial" w:hAnsi="arial"/>
          <w:b w:val="false"/>
          <w:bCs w:val="false"/>
          <w:position w:val="0"/>
          <w:sz w:val="20"/>
          <w:sz w:val="20"/>
          <w:szCs w:val="20"/>
          <w:vertAlign w:val="baseline"/>
        </w:rPr>
        <w:t xml:space="preserve"> emission with and without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Grey lines represent fits to determine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 xml:space="preserve">HQS.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E-F</w:t>
      </w:r>
      <w:r>
        <w:rPr>
          <w:rFonts w:ascii="arial" w:hAnsi="arial"/>
          <w:b/>
          <w:bCs/>
          <w:position w:val="0"/>
          <w:sz w:val="20"/>
          <w:sz w:val="20"/>
          <w:szCs w:val="20"/>
          <w:vertAlign w:val="baseline"/>
        </w:rPr>
        <w:t>)</w:t>
      </w:r>
      <w:r>
        <w:rPr>
          <w:rFonts w:ascii="arial" w:hAnsi="arial"/>
          <w:b w:val="false"/>
          <w:bCs w:val="false"/>
          <w:position w:val="0"/>
          <w:sz w:val="20"/>
          <w:sz w:val="20"/>
          <w:szCs w:val="20"/>
          <w:vertAlign w:val="baseline"/>
        </w:rPr>
        <w:t xml:space="preserve"> Effect of the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on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with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was calculated using HQS emission and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HQS. Grey lines represent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in the absence of chelators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Hex bins represent a statistical simulation based on experimental errors in KD determination, experimental errors in reagent concentrations, and single site binding.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H</w:t>
      </w:r>
      <w:r>
        <w:rPr>
          <w:rFonts w:ascii="arial" w:hAnsi="arial"/>
          <w:b/>
          <w:bCs/>
          <w:position w:val="0"/>
          <w:sz w:val="20"/>
          <w:sz w:val="20"/>
          <w:szCs w:val="20"/>
          <w:vertAlign w:val="baseline"/>
        </w:rPr>
        <w:t xml:space="preserve">) </w:t>
      </w:r>
      <w:r>
        <w:rPr>
          <w:rFonts w:ascii="arial" w:hAnsi="arial"/>
          <w:b w:val="false"/>
          <w:bCs w:val="false"/>
          <w:position w:val="0"/>
          <w:sz w:val="20"/>
          <w:sz w:val="20"/>
          <w:szCs w:val="20"/>
          <w:vertAlign w:val="baseline"/>
        </w:rPr>
        <w:t xml:space="preserve">Concentration of metabolites in each artificial cytoplasm. Box plots represent means and 95% confidence intervals from statistical simulation based on experimental errors in reagent concentrations . Violin plots represent the distribution for the same simulation. </w:t>
      </w:r>
      <w:r>
        <w:rPr>
          <w:rFonts w:ascii="arial" w:hAnsi="arial"/>
          <w:b/>
          <w:bCs/>
          <w:position w:val="0"/>
          <w:sz w:val="20"/>
          <w:sz w:val="20"/>
          <w:szCs w:val="20"/>
          <w:vertAlign w:val="baseline"/>
        </w:rPr>
        <w:t xml:space="preserve">(I) </w:t>
      </w:r>
      <w:r>
        <w:rPr>
          <w:rFonts w:ascii="arial" w:hAnsi="arial"/>
          <w:b w:val="false"/>
          <w:bCs w:val="false"/>
          <w:position w:val="0"/>
          <w:sz w:val="20"/>
          <w:sz w:val="20"/>
          <w:szCs w:val="20"/>
          <w:vertAlign w:val="baseline"/>
        </w:rPr>
        <w:t>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Box plots represent means and 95% confidence intervals from statistical simulation based on experimental errors in KD determination, experimental errors in reagent concentrations, and single site binding. Violin plots represent the distribution for the same simulation. Red lines represent the 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in each artificial cytoplasm as determined in panels E-F.</w:t>
      </w:r>
      <w:r>
        <w:br w:type="page"/>
      </w:r>
    </w:p>
    <w:p>
      <w:pPr>
        <w:pStyle w:val="Normal"/>
        <w:bidi w:val="0"/>
        <w:jc w:val="left"/>
        <w:rPr>
          <w:rFonts w:ascii="arial" w:hAnsi="arial"/>
          <w:b w:val="false"/>
          <w:b w:val="false"/>
          <w:bCs w:val="false"/>
          <w:position w:val="0"/>
          <w:sz w:val="24"/>
          <w:sz w:val="24"/>
          <w:vertAlign w:val="baseline"/>
        </w:rPr>
      </w:pPr>
      <w:r>
        <w:rPr>
          <w:rFonts w:ascii="arial" w:hAnsi="arial"/>
          <w:b w:val="false"/>
          <w:bCs w:val="false"/>
          <w:position w:val="0"/>
          <w:sz w:val="24"/>
          <w:sz w:val="24"/>
          <w:vertAlign w:val="baseli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814133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332220" cy="8141335"/>
                    </a:xfrm>
                    <a:prstGeom prst="rect">
                      <a:avLst/>
                    </a:prstGeom>
                  </pic:spPr>
                </pic:pic>
              </a:graphicData>
            </a:graphic>
          </wp:anchor>
        </w:drawing>
      </w:r>
    </w:p>
    <w:p>
      <w:pPr>
        <w:pStyle w:val="Normal"/>
        <w:bidi w:val="0"/>
        <w:spacing w:lineRule="auto" w:line="240"/>
        <w:jc w:val="left"/>
        <w:rPr/>
      </w:pPr>
      <w:r>
        <w:rPr>
          <w:rFonts w:ascii="arial" w:hAnsi="arial"/>
          <w:b/>
          <w:bCs/>
          <w:sz w:val="20"/>
          <w:szCs w:val="20"/>
        </w:rPr>
        <w:t>Figure 2</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student’s t-test. </w:t>
      </w:r>
      <w:r>
        <w:rPr>
          <w:rFonts w:ascii="arial" w:hAnsi="arial"/>
          <w:b/>
          <w:bCs/>
          <w:i w:val="false"/>
          <w:iCs w:val="false"/>
          <w:position w:val="0"/>
          <w:sz w:val="20"/>
          <w:sz w:val="20"/>
          <w:szCs w:val="20"/>
          <w:vertAlign w:val="baseline"/>
        </w:rPr>
        <w:t xml:space="preserve">(E) </w:t>
      </w:r>
      <w:r>
        <w:rPr>
          <w:rFonts w:ascii="arial" w:hAnsi="arial"/>
          <w:b w:val="false"/>
          <w:bCs w:val="false"/>
          <w:i w:val="false"/>
          <w:iCs w:val="false"/>
          <w:position w:val="0"/>
          <w:sz w:val="20"/>
          <w:sz w:val="20"/>
          <w:szCs w:val="20"/>
          <w:vertAlign w:val="baseline"/>
        </w:rPr>
        <w:t xml:space="preserve">Secondary structure of the cleaved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human CPEB3 HDV ribozyme</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Estimated increase in counts as a function of time in different conditions grouped by paired and unpaired bases. Significance was determined using a student’s t-test.</w:t>
      </w:r>
      <w:r>
        <w:br w:type="page"/>
      </w:r>
    </w:p>
    <w:p>
      <w:pPr>
        <w:pStyle w:val="Normal"/>
        <w:bidi w:val="0"/>
        <w:jc w:val="left"/>
        <w:rPr>
          <w:sz w:val="20"/>
          <w:szCs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07035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332220" cy="4070350"/>
                    </a:xfrm>
                    <a:prstGeom prst="rect">
                      <a:avLst/>
                    </a:prstGeom>
                  </pic:spPr>
                </pic:pic>
              </a:graphicData>
            </a:graphic>
          </wp:anchor>
        </w:drawing>
      </w:r>
      <w:r>
        <w:rPr>
          <w:rFonts w:ascii="arial" w:hAnsi="arial"/>
          <w:b/>
          <w:bCs/>
          <w:sz w:val="20"/>
          <w:szCs w:val="20"/>
        </w:rPr>
        <w:t>F</w:t>
      </w:r>
      <w:r>
        <w:rPr>
          <w:rFonts w:ascii="arial" w:hAnsi="arial"/>
          <w:b/>
          <w:bCs/>
          <w:sz w:val="20"/>
          <w:szCs w:val="20"/>
        </w:rPr>
        <w:t>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destabilize RNA secondary structure.</w:t>
      </w:r>
      <w:r>
        <w:br w:type="page"/>
      </w:r>
    </w:p>
    <w:p>
      <w:pPr>
        <w:pStyle w:val="Normal"/>
        <w:bidi w:val="0"/>
        <w:jc w:val="left"/>
        <w:rPr>
          <w:sz w:val="20"/>
          <w:szCs w:val="20"/>
        </w:rPr>
      </w:pPr>
      <w:r>
        <w:rPr/>
        <w:drawing>
          <wp:inline distT="0" distB="0" distL="0" distR="0">
            <wp:extent cx="3684905" cy="67024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684905" cy="6702425"/>
                    </a:xfrm>
                    <a:prstGeom prst="rect">
                      <a:avLst/>
                    </a:prstGeom>
                  </pic:spPr>
                </pic:pic>
              </a:graphicData>
            </a:graphic>
          </wp:inline>
        </w:drawing>
      </w:r>
    </w:p>
    <w:p>
      <w:pPr>
        <w:pStyle w:val="Normal"/>
        <w:bidi w:val="0"/>
        <w:jc w:val="left"/>
        <w:rPr>
          <w:sz w:val="20"/>
          <w:szCs w:val="20"/>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r>
        <w:br w:type="page"/>
      </w:r>
    </w:p>
    <w:p>
      <w:pPr>
        <w:pStyle w:val="VDTableTitle"/>
        <w:bidi w:val="0"/>
        <w:jc w:val="left"/>
        <w:rPr>
          <w:rFonts w:eastAsia="Times New Roman" w:cs="Times New Roman"/>
          <w:bCs/>
        </w:rPr>
      </w:pPr>
      <w:r>
        <w:rPr>
          <w:rFonts w:eastAsia="Times New Roman" w:cs="Times New Roman"/>
          <w:bCs/>
        </w:rPr>
        <w:t>Table 1. The top 14 most abundant metabolites that comprise 80% of the E. coli metabolome.</w:t>
      </w:r>
    </w:p>
    <w:tbl>
      <w:tblPr>
        <w:tblW w:w="6927" w:type="dxa"/>
        <w:jc w:val="left"/>
        <w:tblInd w:w="108" w:type="dxa"/>
        <w:tblCellMar>
          <w:top w:w="0" w:type="dxa"/>
          <w:left w:w="108" w:type="dxa"/>
          <w:bottom w:w="0" w:type="dxa"/>
          <w:right w:w="108" w:type="dxa"/>
        </w:tblCellMar>
      </w:tblPr>
      <w:tblGrid>
        <w:gridCol w:w="2310"/>
        <w:gridCol w:w="997"/>
        <w:gridCol w:w="2188"/>
        <w:gridCol w:w="1431"/>
      </w:tblGrid>
      <w:tr>
        <w:trPr/>
        <w:tc>
          <w:tcPr>
            <w:tcW w:w="2310" w:type="dxa"/>
            <w:tcBorders>
              <w:top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Metabolite</w:t>
            </w:r>
          </w:p>
        </w:tc>
        <w:tc>
          <w:tcPr>
            <w:tcW w:w="99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Conc.</w:t>
              <w:br/>
              <w:t>(mM)</w:t>
            </w:r>
          </w:p>
        </w:tc>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K’</w:t>
            </w:r>
            <w:r>
              <w:rPr>
                <w:rStyle w:val="DefaultParagraphFont"/>
                <w:rFonts w:ascii="Arial" w:hAnsi="Arial"/>
                <w:bCs/>
                <w:sz w:val="16"/>
                <w:szCs w:val="16"/>
                <w:vertAlign w:val="subscript"/>
              </w:rPr>
              <w:t>D</w:t>
            </w:r>
            <w:r>
              <w:rPr>
                <w:rStyle w:val="DefaultParagraphFont"/>
                <w:rFonts w:ascii="Arial" w:hAnsi="Arial"/>
                <w:bCs/>
                <w:position w:val="-1"/>
                <w:sz w:val="16"/>
                <w:szCs w:val="16"/>
              </w:rPr>
              <w:t xml:space="preserve"> and 95% CI</w:t>
              <w:br/>
            </w:r>
            <w:r>
              <w:rPr>
                <w:rStyle w:val="DefaultParagraphFont"/>
                <w:rFonts w:ascii="Arial" w:hAnsi="Arial"/>
                <w:bCs/>
                <w:sz w:val="16"/>
                <w:szCs w:val="16"/>
              </w:rPr>
              <w:t>(mM)</w:t>
            </w:r>
          </w:p>
        </w:tc>
        <w:tc>
          <w:tcPr>
            <w:tcW w:w="1431" w:type="dxa"/>
            <w:tcBorders>
              <w:top w:val="single" w:sz="4" w:space="0" w:color="000000"/>
              <w:left w:val="single" w:sz="4" w:space="0" w:color="000000"/>
              <w:bottom w:val="single" w:sz="4" w:space="0" w:color="000000"/>
            </w:tcBorders>
            <w:vAlign w:val="center"/>
          </w:tcPr>
          <w:p>
            <w:pPr>
              <w:pStyle w:val="Normal"/>
              <w:bidi w:val="0"/>
              <w:spacing w:before="0" w:after="0"/>
              <w:jc w:val="center"/>
              <w:rPr>
                <w:sz w:val="16"/>
                <w:szCs w:val="16"/>
              </w:rPr>
            </w:pPr>
            <w:r>
              <w:rPr>
                <w:rFonts w:ascii="Arial" w:hAnsi="Arial"/>
                <w:bCs/>
                <w:sz w:val="16"/>
                <w:szCs w:val="16"/>
              </w:rPr>
              <w:t>Chelation</w:t>
              <w:br/>
              <w:t>stength</w:t>
            </w:r>
          </w:p>
        </w:tc>
      </w:tr>
      <w:tr>
        <w:trPr>
          <w:trHeight w:val="644" w:hRule="atLeast"/>
        </w:trPr>
        <w:tc>
          <w:tcPr>
            <w:tcW w:w="2310" w:type="dxa"/>
            <w:tcBorders>
              <w:top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ATP</w:t>
            </w:r>
          </w:p>
        </w:tc>
        <w:tc>
          <w:tcPr>
            <w:tcW w:w="997"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9.63</w:t>
            </w:r>
          </w:p>
        </w:tc>
        <w:tc>
          <w:tcPr>
            <w:tcW w:w="2188"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76 </w:t>
            </w:r>
            <w:r>
              <w:rPr>
                <w:rStyle w:val="DefaultParagraphFont"/>
                <w:rFonts w:ascii="Arial" w:hAnsi="Arial"/>
                <w:bCs/>
                <w:sz w:val="16"/>
                <w:szCs w:val="16"/>
              </w:rPr>
              <w:t>(0.272 to 0.279)</w:t>
            </w:r>
            <w:r>
              <w:rPr>
                <w:rStyle w:val="DefaultParagraphFont"/>
                <w:rFonts w:eastAsia="Times New Roman" w:cs="Times New Roman" w:ascii="Arial" w:hAnsi="Arial"/>
                <w:b w:val="false"/>
                <w:bCs/>
                <w:position w:val="8"/>
                <w:sz w:val="16"/>
                <w:szCs w:val="16"/>
              </w:rPr>
              <w:t>a</w:t>
            </w:r>
          </w:p>
        </w:tc>
        <w:tc>
          <w:tcPr>
            <w:tcW w:w="1431" w:type="dxa"/>
            <w:tcBorders>
              <w:top w:val="single" w:sz="4" w:space="0" w:color="000000"/>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UTP</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8.29</w:t>
            </w:r>
          </w:p>
        </w:tc>
        <w:tc>
          <w:tcPr>
            <w:tcW w:w="2188"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38 </w:t>
            </w: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30</w:t>
            </w:r>
            <w:r>
              <w:rPr>
                <w:rStyle w:val="DefaultParagraphFont"/>
                <w:rFonts w:ascii="Arial" w:hAnsi="Arial"/>
                <w:bCs/>
                <w:sz w:val="16"/>
                <w:szCs w:val="16"/>
              </w:rPr>
              <w:t xml:space="preserve"> to 0.2</w:t>
            </w:r>
            <w:r>
              <w:rPr>
                <w:rStyle w:val="DefaultParagraphFont"/>
                <w:rFonts w:eastAsia="Noto Serif CJK SC" w:cs="Lohit Devanagari" w:ascii="Arial" w:hAnsi="Arial"/>
                <w:bCs/>
                <w:color w:val="auto"/>
                <w:kern w:val="2"/>
                <w:sz w:val="16"/>
                <w:szCs w:val="16"/>
                <w:lang w:val="en-US" w:eastAsia="zh-CN" w:bidi="hi-IN"/>
              </w:rPr>
              <w:t>45</w:t>
            </w:r>
            <w:r>
              <w:rPr>
                <w:rStyle w:val="DefaultParagraphFont"/>
                <w:rFonts w:ascii="Arial" w:hAnsi="Arial"/>
                <w:bCs/>
                <w:sz w:val="16"/>
                <w:szCs w:val="16"/>
              </w:rPr>
              <w:t>)</w:t>
            </w:r>
            <w:r>
              <w:rPr>
                <w:rStyle w:val="DefaultParagraphFont"/>
                <w:rFonts w:eastAsia="Times New Roman" w:cs="Times New Roman" w:ascii="Arial" w:hAnsi="Arial"/>
                <w:b w:val="false"/>
                <w:bCs/>
                <w:position w:val="8"/>
                <w:sz w:val="16"/>
                <w:szCs w:val="16"/>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GTP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4.87</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0.201 (0.195 to 0.208)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dTTP</w:t>
            </w:r>
          </w:p>
        </w:tc>
        <w:tc>
          <w:tcPr>
            <w:tcW w:w="997"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4.62</w:t>
            </w:r>
          </w:p>
        </w:tc>
        <w:tc>
          <w:tcPr>
            <w:tcW w:w="2188"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ascii="Arial" w:hAnsi="Arial"/>
                <w:bCs/>
                <w:sz w:val="16"/>
                <w:szCs w:val="16"/>
              </w:rPr>
              <w:t>0.16</w:t>
            </w:r>
            <w:r>
              <w:rPr>
                <w:rStyle w:val="DefaultParagraphFont"/>
                <w:rFonts w:eastAsia="Noto Serif CJK SC" w:cs="Lohit Devanagari" w:ascii="Arial" w:hAnsi="Arial"/>
                <w:bCs/>
                <w:color w:val="auto"/>
                <w:kern w:val="2"/>
                <w:sz w:val="16"/>
                <w:szCs w:val="16"/>
                <w:lang w:val="en-US" w:eastAsia="zh-CN" w:bidi="hi-IN"/>
              </w:rPr>
              <w:t>0</w:t>
            </w:r>
            <w:r>
              <w:rPr>
                <w:rStyle w:val="DefaultParagraphFont"/>
                <w:rFonts w:ascii="Arial" w:hAnsi="Arial"/>
                <w:bCs/>
                <w:sz w:val="16"/>
                <w:szCs w:val="16"/>
              </w:rPr>
              <w:t xml:space="preserve"> </w:t>
            </w:r>
            <w:r>
              <w:rPr>
                <w:rStyle w:val="DefaultParagraphFont"/>
                <w:rFonts w:eastAsia="Noto Serif CJK SC" w:cs="Lohit Devanagari" w:ascii="Arial" w:hAnsi="Arial"/>
                <w:bCs/>
                <w:color w:val="auto"/>
                <w:kern w:val="2"/>
                <w:sz w:val="16"/>
                <w:szCs w:val="16"/>
                <w:lang w:val="en-US" w:eastAsia="zh-CN" w:bidi="hi-IN"/>
              </w:rPr>
              <w:t>(0.153 to 0.166)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L-Glutamic acid</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Glutathione</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16.6</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Fructose 1,6-BP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15.2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Fonts w:ascii="Arial" w:hAnsi="Arial"/>
                <w:bCs/>
                <w:sz w:val="16"/>
                <w:szCs w:val="16"/>
              </w:rPr>
              <w:t xml:space="preserve">5.9 </w:t>
            </w:r>
            <w:r>
              <w:rPr>
                <w:rStyle w:val="DefaultParagraphFont"/>
                <w:rFonts w:eastAsia="Noto Serif CJK SC" w:cs="Lohit Devanagari" w:ascii="Arial" w:hAnsi="Arial"/>
                <w:bCs/>
                <w:color w:val="auto"/>
                <w:kern w:val="2"/>
                <w:sz w:val="16"/>
                <w:szCs w:val="16"/>
                <w:lang w:val="en-US" w:eastAsia="zh-CN" w:bidi="hi-IN"/>
              </w:rPr>
              <w:t>(5.6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UDP-GlcNAC</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9.24</w:t>
            </w:r>
          </w:p>
        </w:tc>
        <w:tc>
          <w:tcPr>
            <w:tcW w:w="2188" w:type="dxa"/>
            <w:tcBorders>
              <w:left w:val="single" w:sz="4" w:space="0" w:color="000000"/>
              <w:right w:val="single" w:sz="4" w:space="0" w:color="000000"/>
            </w:tcBorders>
            <w:vAlign w:val="center"/>
          </w:tcPr>
          <w:p>
            <w:pPr>
              <w:pStyle w:val="Normal"/>
              <w:bidi w:val="0"/>
              <w:spacing w:before="0" w:after="0"/>
              <w:jc w:val="center"/>
              <w:rPr/>
            </w:pPr>
            <w:r>
              <w:rPr>
                <w:rFonts w:ascii="Arial" w:hAnsi="Arial"/>
                <w:bCs/>
                <w:sz w:val="16"/>
                <w:szCs w:val="16"/>
              </w:rPr>
              <w:t>29.0</w:t>
            </w:r>
            <w:r>
              <w:rPr>
                <w:rStyle w:val="DefaultParagraphFont"/>
                <w:rFonts w:eastAsia="Noto Serif CJK SC" w:cs="Lohit Devanagari" w:ascii="Arial" w:hAnsi="Arial"/>
                <w:bCs/>
                <w:color w:val="auto"/>
                <w:kern w:val="2"/>
                <w:sz w:val="16"/>
                <w:szCs w:val="16"/>
                <w:lang w:val="en-US" w:eastAsia="zh-CN" w:bidi="hi-IN"/>
              </w:rPr>
              <w:t xml:space="preserve"> (28.4 to 29.6)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Glucose 6-P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7.88</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17.3 (16.8 to 17.7)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L-Aspartic acid</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4.23</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L-Valine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4.02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L-Glutamine</w:t>
            </w:r>
          </w:p>
        </w:tc>
        <w:tc>
          <w:tcPr>
            <w:tcW w:w="997"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3.81</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6-P-gluconic acid</w:t>
            </w:r>
          </w:p>
        </w:tc>
        <w:tc>
          <w:tcPr>
            <w:tcW w:w="997"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3.77</w:t>
            </w:r>
          </w:p>
        </w:tc>
        <w:tc>
          <w:tcPr>
            <w:tcW w:w="2188"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14.4 (5.6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Pyruvic acid</w:t>
            </w:r>
          </w:p>
        </w:tc>
        <w:tc>
          <w:tcPr>
            <w:tcW w:w="997"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3.66</w:t>
            </w:r>
          </w:p>
        </w:tc>
        <w:tc>
          <w:tcPr>
            <w:tcW w:w="2188"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tcBorders>
            <w:shd w:fill="A9A9A9" w:val="clear"/>
            <w:tcMar>
              <w:top w:w="55" w:type="dxa"/>
              <w:bottom w:w="55" w:type="dxa"/>
            </w:tcMar>
            <w:vAlign w:val="center"/>
          </w:tcPr>
          <w:p>
            <w:pPr>
              <w:pStyle w:val="Normal"/>
              <w:bidi w:val="0"/>
              <w:spacing w:before="0" w:after="0"/>
              <w:jc w:val="center"/>
              <w:rPr>
                <w:sz w:val="16"/>
                <w:szCs w:val="16"/>
              </w:rPr>
            </w:pPr>
            <w:r>
              <w:rPr>
                <w:rFonts w:ascii="Arial" w:hAnsi="Arial"/>
                <w:bCs/>
                <w:sz w:val="16"/>
                <w:szCs w:val="16"/>
              </w:rPr>
              <w:t>Dihydroxyacetone phosphate</w:t>
            </w:r>
          </w:p>
        </w:tc>
        <w:tc>
          <w:tcPr>
            <w:tcW w:w="997"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3.06</w:t>
            </w:r>
          </w:p>
        </w:tc>
        <w:tc>
          <w:tcPr>
            <w:tcW w:w="2188"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19.7 (19.2 to 20.2)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Weak</w:t>
            </w:r>
            <w:r>
              <w:rPr>
                <w:rStyle w:val="DefaultParagraphFont"/>
                <w:rFonts w:ascii="Arno Pro" w:hAnsi="Arno Pro"/>
                <w:bCs/>
                <w:kern w:val="2"/>
                <w:position w:val="5"/>
                <w:sz w:val="16"/>
                <w:szCs w:val="16"/>
              </w:rPr>
              <w:t>c</w:t>
            </w:r>
          </w:p>
        </w:tc>
      </w:tr>
    </w:tbl>
    <w:p>
      <w:pPr>
        <w:pStyle w:val="VDTableTitle"/>
        <w:bidi w:val="0"/>
        <w:jc w:val="left"/>
        <w:rPr/>
      </w:pPr>
      <w:r>
        <w:rPr>
          <w:rStyle w:val="DefaultParagraphFont"/>
          <w:rFonts w:eastAsia="Times New Roman" w:cs="Times New Roman"/>
          <w:b w:val="false"/>
          <w:position w:val="5"/>
          <w:sz w:val="10"/>
        </w:rPr>
        <w:t>a</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Error is the propagated standard error in the fit parameter.</w:t>
      </w:r>
    </w:p>
    <w:p>
      <w:pPr>
        <w:pStyle w:val="Normal"/>
        <w:bidi w:val="0"/>
        <w:spacing w:before="0" w:after="72"/>
        <w:jc w:val="left"/>
        <w:rPr/>
      </w:pPr>
      <w:r>
        <w:rPr>
          <w:rStyle w:val="DefaultParagraphFont"/>
          <w:rFonts w:ascii="Arno Pro" w:hAnsi="Arno Pro"/>
          <w:kern w:val="2"/>
          <w:position w:val="5"/>
          <w:sz w:val="16"/>
          <w:szCs w:val="16"/>
        </w:rPr>
        <w:t>c</w:t>
      </w:r>
      <w:r>
        <w:rPr>
          <w:rStyle w:val="DefaultParagraphFont"/>
          <w:rFonts w:ascii="Arno Pro" w:hAnsi="Arno Pro"/>
          <w:kern w:val="2"/>
          <w:sz w:val="16"/>
          <w:szCs w:val="16"/>
        </w:rPr>
        <w:t>metabolites with K</w:t>
      </w:r>
      <w:r>
        <w:rPr>
          <w:rStyle w:val="DefaultParagraphFont"/>
          <w:rFonts w:ascii="Arno Pro" w:hAnsi="Arno Pro"/>
          <w:kern w:val="2"/>
          <w:position w:val="-1"/>
          <w:sz w:val="16"/>
          <w:szCs w:val="16"/>
        </w:rPr>
        <w:t>D</w:t>
      </w:r>
      <w:r>
        <w:rPr>
          <w:rStyle w:val="DefaultParagraphFont"/>
          <w:rFonts w:ascii="Arno Pro" w:hAnsi="Arno Pro"/>
          <w:kern w:val="2"/>
          <w:sz w:val="16"/>
          <w:szCs w:val="16"/>
        </w:rPr>
        <w:t>s for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less than 2 mM are considered strong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chelators.</w:t>
      </w:r>
      <w:r>
        <w:br w:type="page"/>
      </w:r>
    </w:p>
    <w:p>
      <w:pPr>
        <w:pStyle w:val="VDTableTitle"/>
        <w:bidi w:val="0"/>
        <w:rPr/>
      </w:pPr>
      <w:r>
        <w:rPr>
          <w:rStyle w:val="DefaultParagraphFont"/>
          <w:rFonts w:eastAsia="Times New Roman" w:cs="Times New Roman"/>
          <w:bCs/>
          <w:sz w:val="19"/>
          <w:szCs w:val="19"/>
        </w:rPr>
        <w:t xml:space="preserve">Table 2.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38"/>
        <w:gridCol w:w="761"/>
        <w:gridCol w:w="1000"/>
        <w:gridCol w:w="1500"/>
        <w:gridCol w:w="1433"/>
        <w:gridCol w:w="1622"/>
        <w:gridCol w:w="1440"/>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3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6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5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dH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dG </w:t>
            </w:r>
            <w:r>
              <w:rPr>
                <w:rFonts w:ascii="Arial" w:hAnsi="Arial"/>
                <w:bCs/>
                <w:sz w:val="14"/>
                <w:szCs w:val="14"/>
              </w:rPr>
              <w:t>(kcal/mol)</w:t>
            </w:r>
          </w:p>
        </w:tc>
        <w:tc>
          <w:tcPr>
            <w:tcW w:w="144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 xml:space="preserve">ddG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F</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4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G</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4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H</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4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I</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4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J</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4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4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ni">
    <w:charset w:val="01"/>
    <w:family w:val="roman"/>
    <w:pitch w:val="variable"/>
  </w:font>
  <w:font w:name="Arial">
    <w:charset w:val="01"/>
    <w:family w:val="roman"/>
    <w:pitch w:val="variable"/>
  </w:font>
  <w:font w:name="DejaVu Serif">
    <w:charset w:val="01"/>
    <w:family w:val="roman"/>
    <w:pitch w:val="variable"/>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1399</TotalTime>
  <Application>LibreOffice/6.4.7.2$Linux_X86_64 LibreOffice_project/40$Build-2</Application>
  <Pages>7</Pages>
  <Words>820</Words>
  <Characters>4313</Characters>
  <CharactersWithSpaces>4960</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2022-04-07T14:10:32Z</dcterms:modified>
  <cp:revision>13</cp:revision>
  <dc:subject/>
  <dc:title/>
</cp:coreProperties>
</file>